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BB85" w14:textId="7BCC6171" w:rsidR="005201E4" w:rsidRPr="007279D2" w:rsidRDefault="005201E4" w:rsidP="005201E4">
      <w:pPr>
        <w:spacing w:line="276" w:lineRule="auto"/>
        <w:ind w:left="680"/>
        <w:jc w:val="both"/>
        <w:rPr>
          <w:rFonts w:ascii="Arial" w:hAnsi="Arial" w:cs="Arial"/>
          <w:sz w:val="20"/>
          <w:szCs w:val="20"/>
        </w:rPr>
      </w:pPr>
      <w:r w:rsidRPr="001E2AD9">
        <w:rPr>
          <w:rFonts w:ascii="Arial" w:hAnsi="Arial" w:cs="Arial"/>
          <w:b/>
          <w:sz w:val="20"/>
          <w:szCs w:val="20"/>
        </w:rPr>
        <w:t>Streszczenie rozprawy w języku polskim</w:t>
      </w:r>
      <w:r w:rsidRPr="001E2AD9">
        <w:rPr>
          <w:rFonts w:ascii="Arial" w:hAnsi="Arial" w:cs="Arial"/>
          <w:sz w:val="20"/>
          <w:szCs w:val="20"/>
        </w:rPr>
        <w:t xml:space="preserve">: </w:t>
      </w:r>
      <w:r w:rsidRPr="007279D2">
        <w:rPr>
          <w:rFonts w:ascii="Arial" w:hAnsi="Arial" w:cs="Arial"/>
          <w:bCs/>
          <w:iCs/>
          <w:sz w:val="20"/>
          <w:szCs w:val="20"/>
        </w:rPr>
        <w:t>Związki endokrynnie czynne (EAC) są uważane za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 xml:space="preserve">jedno z największych zagrożeń dla środowiska w ostatnich dekadach. </w:t>
      </w:r>
      <w:r>
        <w:rPr>
          <w:rFonts w:ascii="Arial" w:hAnsi="Arial" w:cs="Arial"/>
          <w:bCs/>
          <w:iCs/>
          <w:sz w:val="20"/>
          <w:szCs w:val="20"/>
        </w:rPr>
        <w:t>Przykładami</w:t>
      </w:r>
      <w:r w:rsidRPr="007279D2">
        <w:rPr>
          <w:rFonts w:ascii="Arial" w:hAnsi="Arial" w:cs="Arial"/>
          <w:bCs/>
          <w:iCs/>
          <w:sz w:val="20"/>
          <w:szCs w:val="20"/>
        </w:rPr>
        <w:t xml:space="preserve"> takich substancji są przede wszystkim bisfenole, pestycydy, barwniki, farmaceutyki, często z grupy popularnych niesteroidowych leków przeciwzapalnych. Ich rozprzestrzenienie stanowi istotne wyzwanie dla współczesnych badaczy i skłania do poszukiwania nowych rozwiązań, które przede wszystkim będą opierały się na zasadach zielonej chemii i zrównoważonego rozwoju. Głównym problemem tych związków chemicznych jest to, </w:t>
      </w:r>
      <w:r>
        <w:rPr>
          <w:rFonts w:ascii="Arial" w:hAnsi="Arial" w:cs="Arial"/>
          <w:bCs/>
          <w:iCs/>
          <w:sz w:val="20"/>
          <w:szCs w:val="20"/>
        </w:rPr>
        <w:t>że</w:t>
      </w:r>
      <w:r w:rsidRPr="007279D2">
        <w:rPr>
          <w:rFonts w:ascii="Arial" w:hAnsi="Arial" w:cs="Arial"/>
          <w:bCs/>
          <w:iCs/>
          <w:sz w:val="20"/>
          <w:szCs w:val="20"/>
        </w:rPr>
        <w:t xml:space="preserve"> nawet w niezwykle niskich stężeniach (ng L</w:t>
      </w:r>
      <w:r w:rsidRPr="007279D2">
        <w:rPr>
          <w:rFonts w:ascii="Arial" w:hAnsi="Arial" w:cs="Arial"/>
          <w:bCs/>
          <w:iCs/>
          <w:sz w:val="20"/>
          <w:szCs w:val="20"/>
          <w:vertAlign w:val="superscript"/>
        </w:rPr>
        <w:t>-1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>do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>µg L</w:t>
      </w:r>
      <w:r w:rsidRPr="007279D2">
        <w:rPr>
          <w:rFonts w:ascii="Arial" w:hAnsi="Arial" w:cs="Arial"/>
          <w:bCs/>
          <w:iCs/>
          <w:sz w:val="20"/>
          <w:szCs w:val="20"/>
          <w:vertAlign w:val="superscript"/>
        </w:rPr>
        <w:t>-1</w:t>
      </w:r>
      <w:r w:rsidRPr="007279D2">
        <w:rPr>
          <w:rFonts w:ascii="Arial" w:hAnsi="Arial" w:cs="Arial"/>
          <w:bCs/>
          <w:iCs/>
          <w:sz w:val="20"/>
          <w:szCs w:val="20"/>
        </w:rPr>
        <w:t>) są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>w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>stanie spowodować duże spustoszenie w odniesieniu do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>organizmów żywych. Nie pomaga fakt, że są oznaczane nagminnie</w:t>
      </w:r>
      <w:r>
        <w:rPr>
          <w:rFonts w:ascii="Arial" w:hAnsi="Arial" w:cs="Arial"/>
          <w:bCs/>
          <w:iCs/>
          <w:sz w:val="20"/>
          <w:szCs w:val="20"/>
        </w:rPr>
        <w:t xml:space="preserve"> w praktycznie każdym źródle wody, np. w wodzie pitnej</w:t>
      </w:r>
      <w:r w:rsidRPr="007279D2">
        <w:rPr>
          <w:rFonts w:ascii="Arial" w:hAnsi="Arial" w:cs="Arial"/>
          <w:bCs/>
          <w:iCs/>
          <w:sz w:val="20"/>
          <w:szCs w:val="20"/>
        </w:rPr>
        <w:t xml:space="preserve"> czy w teoretycznie oczyszczonych strumieniach ścieków wprowadzanych do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>wód powierzchniowych. Niestety</w:t>
      </w:r>
      <w:r>
        <w:rPr>
          <w:rFonts w:ascii="Arial" w:hAnsi="Arial" w:cs="Arial"/>
          <w:bCs/>
          <w:iCs/>
          <w:sz w:val="20"/>
          <w:szCs w:val="20"/>
        </w:rPr>
        <w:t>,</w:t>
      </w:r>
      <w:r w:rsidRPr="007279D2">
        <w:rPr>
          <w:rFonts w:ascii="Arial" w:hAnsi="Arial" w:cs="Arial"/>
          <w:bCs/>
          <w:iCs/>
          <w:sz w:val="20"/>
          <w:szCs w:val="20"/>
        </w:rPr>
        <w:t xml:space="preserve"> wiele sposobów radzenia sobie z tym problemem nie ma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>wystarczającej wydajności, na przykład konwencjonalne metody oczyszczania ścieków. Z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>tego właśnie powodu istnieje zapotrzebowanie na ciągłe poszukiwanie i doskonalenie dostępnych adsorbentów, gdyż adsorpcja to sposób, który wyróżnia się na tle innych dostępnych technik w tym zakresie i pozwala na osiąganie wysokich wydajności usuwania EACs.</w:t>
      </w:r>
      <w:r>
        <w:rPr>
          <w:rFonts w:ascii="Arial" w:hAnsi="Arial" w:cs="Arial"/>
          <w:sz w:val="20"/>
          <w:szCs w:val="20"/>
        </w:rPr>
        <w:t xml:space="preserve"> </w:t>
      </w:r>
      <w:r w:rsidRPr="007279D2">
        <w:rPr>
          <w:rFonts w:ascii="Arial" w:hAnsi="Arial" w:cs="Arial"/>
          <w:bCs/>
          <w:iCs/>
          <w:sz w:val="20"/>
          <w:szCs w:val="20"/>
        </w:rPr>
        <w:t>Celem niniejszej rozprawy było krytyczne przedstawienie dostępnych źródeł zanieczyszczeń, ze szczególnym uwzględnieniem związków endokrynnych, omówienie dostępnych i wykorzystywanych obecnie sposobów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7279D2">
        <w:rPr>
          <w:rFonts w:ascii="Arial" w:hAnsi="Arial" w:cs="Arial"/>
          <w:bCs/>
          <w:iCs/>
          <w:sz w:val="20"/>
          <w:szCs w:val="20"/>
        </w:rPr>
        <w:t xml:space="preserve">oczyszczania wody i ścieków, ogólnego zarysu adsorpcji i </w:t>
      </w:r>
      <w:r>
        <w:rPr>
          <w:rFonts w:ascii="Arial" w:hAnsi="Arial" w:cs="Arial"/>
          <w:bCs/>
          <w:iCs/>
          <w:sz w:val="20"/>
          <w:szCs w:val="20"/>
        </w:rPr>
        <w:t>charakterystyki</w:t>
      </w:r>
      <w:r w:rsidRPr="007279D2">
        <w:rPr>
          <w:rFonts w:ascii="Arial" w:hAnsi="Arial" w:cs="Arial"/>
          <w:bCs/>
          <w:iCs/>
          <w:sz w:val="20"/>
          <w:szCs w:val="20"/>
        </w:rPr>
        <w:t xml:space="preserve"> ważniejszych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7279D2">
        <w:rPr>
          <w:rFonts w:ascii="Arial" w:hAnsi="Arial" w:cs="Arial"/>
          <w:bCs/>
          <w:iCs/>
          <w:sz w:val="20"/>
          <w:szCs w:val="20"/>
        </w:rPr>
        <w:t>adsorbentów. Ostatnim etapem było również zwrócenie uwagi na aspekty zrównoważonego rozwoju, które należy rozważyć</w:t>
      </w:r>
      <w:r>
        <w:rPr>
          <w:rFonts w:ascii="Arial" w:hAnsi="Arial" w:cs="Arial"/>
          <w:bCs/>
          <w:iCs/>
          <w:sz w:val="20"/>
          <w:szCs w:val="20"/>
        </w:rPr>
        <w:t>,</w:t>
      </w:r>
      <w:r w:rsidRPr="007279D2">
        <w:rPr>
          <w:rFonts w:ascii="Arial" w:hAnsi="Arial" w:cs="Arial"/>
          <w:bCs/>
          <w:iCs/>
          <w:sz w:val="20"/>
          <w:szCs w:val="20"/>
        </w:rPr>
        <w:t xml:space="preserve"> projektując materiały sorpcyjne. Ponadto fundamentem niniejszej pracy jest cykl sześciu publikacji naukowych – czterech oryginalnych prac badawczych i dwóch przeglądowych. Oryginalne prace badawcze stanowią o szeregu nowatorskich materiałów adsorpcyjnych, ich syntezie, charakterystyce, badaniach adsorpcyjnych i zastosowaniu w realnych warunkach środowiskowych bądź przemysłowych. Badania opierały się na materiałach wykonanych ze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 xml:space="preserve">źródeł odnawialnych, polimerach na bazie cyklodekstryny, polimerach z nadrukiem molekularnym oraz możliwych modyfikacjach tych materiałów. </w:t>
      </w:r>
      <w:r>
        <w:rPr>
          <w:rFonts w:ascii="Arial" w:hAnsi="Arial" w:cs="Arial"/>
          <w:sz w:val="20"/>
          <w:szCs w:val="20"/>
        </w:rPr>
        <w:t xml:space="preserve"> </w:t>
      </w:r>
      <w:r w:rsidRPr="007279D2">
        <w:rPr>
          <w:rFonts w:ascii="Arial" w:hAnsi="Arial" w:cs="Arial"/>
          <w:bCs/>
          <w:iCs/>
          <w:sz w:val="20"/>
          <w:szCs w:val="20"/>
        </w:rPr>
        <w:t>Badania wykazały, że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>opracowane adsorbenty pozwalają na znaczące usunięcie wybranych modelowych zanieczyszczeń. Dla fioletu krystalicznego (CV), przedstawiciela barwników kationowych na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>poziomie wyższym niż 1000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>mg g</w:t>
      </w:r>
      <w:r w:rsidRPr="007279D2">
        <w:rPr>
          <w:rFonts w:ascii="Arial" w:hAnsi="Arial" w:cs="Arial"/>
          <w:bCs/>
          <w:iCs/>
          <w:sz w:val="20"/>
          <w:szCs w:val="20"/>
          <w:vertAlign w:val="superscript"/>
        </w:rPr>
        <w:t>-1</w:t>
      </w:r>
      <w:r w:rsidRPr="007279D2">
        <w:rPr>
          <w:rFonts w:ascii="Arial" w:hAnsi="Arial" w:cs="Arial"/>
          <w:bCs/>
          <w:iCs/>
          <w:sz w:val="20"/>
          <w:szCs w:val="20"/>
        </w:rPr>
        <w:t>, natomiast dla bisfenoli czy farmaceutyków na poziomie od kilkunastu do &gt; 160 mg g</w:t>
      </w:r>
      <w:r w:rsidRPr="007279D2">
        <w:rPr>
          <w:rFonts w:ascii="Arial" w:hAnsi="Arial" w:cs="Arial"/>
          <w:bCs/>
          <w:iCs/>
          <w:sz w:val="20"/>
          <w:szCs w:val="20"/>
          <w:vertAlign w:val="superscript"/>
        </w:rPr>
        <w:t>-1</w:t>
      </w:r>
      <w:r w:rsidRPr="007279D2">
        <w:rPr>
          <w:rFonts w:ascii="Arial" w:hAnsi="Arial" w:cs="Arial"/>
          <w:bCs/>
          <w:iCs/>
          <w:sz w:val="20"/>
          <w:szCs w:val="20"/>
        </w:rPr>
        <w:t xml:space="preserve">. Mechanizmy procesu adsorpcji oraz etapy limitujące zostały określone za pomocą modeli kinetycznych (między innymi </w:t>
      </w:r>
      <w:r>
        <w:rPr>
          <w:rFonts w:ascii="Arial" w:hAnsi="Arial" w:cs="Arial"/>
          <w:bCs/>
          <w:iCs/>
          <w:sz w:val="20"/>
          <w:szCs w:val="20"/>
        </w:rPr>
        <w:t>pseudo-pierwiego i pseudo-drugiego</w:t>
      </w:r>
      <w:r w:rsidRPr="007279D2">
        <w:rPr>
          <w:rFonts w:ascii="Arial" w:hAnsi="Arial" w:cs="Arial"/>
          <w:bCs/>
          <w:iCs/>
          <w:sz w:val="20"/>
          <w:szCs w:val="20"/>
        </w:rPr>
        <w:t xml:space="preserve"> rzędu, Webera</w:t>
      </w:r>
      <w:r>
        <w:rPr>
          <w:rFonts w:ascii="Arial" w:hAnsi="Arial" w:cs="Arial"/>
          <w:bCs/>
          <w:iCs/>
          <w:sz w:val="20"/>
          <w:szCs w:val="20"/>
        </w:rPr>
        <w:t>-</w:t>
      </w:r>
      <w:r w:rsidRPr="007279D2">
        <w:rPr>
          <w:rFonts w:ascii="Arial" w:hAnsi="Arial" w:cs="Arial"/>
          <w:bCs/>
          <w:iCs/>
          <w:sz w:val="20"/>
          <w:szCs w:val="20"/>
        </w:rPr>
        <w:t>Morrisa, Elovicha) i izotermicznych (na przykład Langmuira, Freundlicha, Sipsa, Hilla). Mechanizmy reakcji są różne w zależności od adsorbowanego zanieczyszczenia i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>od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>struktury chemicznej adsorbentu. Jednak z pewnością nie można tutaj pominąć wiązań wodorowych, oddziaływań hydrofobowych, oddziaływań gość-gospodarz, które świadczą 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7279D2">
        <w:rPr>
          <w:rFonts w:ascii="Arial" w:hAnsi="Arial" w:cs="Arial"/>
          <w:bCs/>
          <w:iCs/>
          <w:sz w:val="20"/>
          <w:szCs w:val="20"/>
        </w:rPr>
        <w:t>tworzeniu kompleksów inkluzyjnych i innych. Należy pamiętać, że takie nowoczesne materiały często mają potencjał praktyczny, co jest również widoczne w tym przypadku. Poza tym</w:t>
      </w:r>
      <w:r>
        <w:rPr>
          <w:rFonts w:ascii="Arial" w:hAnsi="Arial" w:cs="Arial"/>
          <w:bCs/>
          <w:iCs/>
          <w:sz w:val="20"/>
          <w:szCs w:val="20"/>
        </w:rPr>
        <w:t xml:space="preserve"> porównując badane sorbenty z powszechnie stosowanym węglem aktywnym,</w:t>
      </w:r>
      <w:r w:rsidRPr="007279D2">
        <w:rPr>
          <w:rFonts w:ascii="Arial" w:hAnsi="Arial" w:cs="Arial"/>
          <w:bCs/>
          <w:iCs/>
          <w:sz w:val="20"/>
          <w:szCs w:val="20"/>
        </w:rPr>
        <w:t xml:space="preserve"> uzyskuje się łatwiejszą regenerację oraz selektywność (np. wykorzystanie odcisku molekularnego).</w:t>
      </w:r>
      <w:r>
        <w:rPr>
          <w:rFonts w:ascii="Arial" w:hAnsi="Arial" w:cs="Arial"/>
          <w:sz w:val="20"/>
          <w:szCs w:val="20"/>
        </w:rPr>
        <w:t xml:space="preserve"> </w:t>
      </w:r>
      <w:r w:rsidRPr="007279D2">
        <w:rPr>
          <w:rFonts w:ascii="Arial" w:hAnsi="Arial" w:cs="Arial"/>
          <w:bCs/>
          <w:iCs/>
          <w:sz w:val="20"/>
          <w:szCs w:val="20"/>
        </w:rPr>
        <w:t>Jak wynika z danych uzyskanych w wyniku przeprowadzonych badań, zaawansowane materiały adsorpcyjne mogą być realnym zamiennikiem w przemyśle, gdyż cechują się biodegradowalnością, zdolnością regeneracji i zgodnością z założeniami gospodarki o obiegu zamkniętym.</w:t>
      </w:r>
    </w:p>
    <w:p w14:paraId="2D643211" w14:textId="77777777" w:rsidR="00AD79BD" w:rsidRPr="00FF482C" w:rsidRDefault="00AD79BD" w:rsidP="005201E4">
      <w:pPr>
        <w:spacing w:line="276" w:lineRule="auto"/>
      </w:pPr>
    </w:p>
    <w:sectPr w:rsidR="00AD79BD" w:rsidRPr="00FF48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E4"/>
    <w:rsid w:val="000C1BFE"/>
    <w:rsid w:val="00135DA4"/>
    <w:rsid w:val="005201E4"/>
    <w:rsid w:val="006474EA"/>
    <w:rsid w:val="006B0CC6"/>
    <w:rsid w:val="008F7BD7"/>
    <w:rsid w:val="00AD79BD"/>
    <w:rsid w:val="00D31648"/>
    <w:rsid w:val="00E45B19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1DA91"/>
  <w15:chartTrackingRefBased/>
  <w15:docId w15:val="{7EC98AAE-79B2-422C-9FE5-1992B549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E4"/>
    <w:pPr>
      <w:spacing w:before="240" w:after="120" w:line="240" w:lineRule="auto"/>
    </w:pPr>
    <w:rPr>
      <w:rFonts w:ascii="Times New Roman" w:eastAsia="Calibri" w:hAnsi="Times New Roman" w:cs="Times New Roman"/>
      <w:kern w:val="0"/>
      <w:lang w:val="pl-PL" w:eastAsia="pl-P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01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H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1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H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1E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H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1E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CH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1E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CH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1E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CH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1E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CH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1E4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CH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1E4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CH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1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1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1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1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1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1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1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1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1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1E4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H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0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1E4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H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0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1E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CH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01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1E4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CH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01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CH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1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1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bd254b99-b0b9-4cef-9ad3-6af7a1d03e3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453</Words>
  <Characters>3241</Characters>
  <Application>Microsoft Office Word</Application>
  <DocSecurity>0</DocSecurity>
  <Lines>44</Lines>
  <Paragraphs>1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Nowacka</dc:creator>
  <cp:keywords/>
  <dc:description/>
  <cp:lastModifiedBy>Dominika Nowacka</cp:lastModifiedBy>
  <cp:revision>6</cp:revision>
  <dcterms:created xsi:type="dcterms:W3CDTF">2026-04-13T10:00:00Z</dcterms:created>
  <dcterms:modified xsi:type="dcterms:W3CDTF">2026-04-13T10:14:00Z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c0ffba7c-300c-41db-8f89-9f7e52b24e62</vt:lpwstr>
  </property>
</Properties>
</file>